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.0"/>
        <w:tabs>
          <w:tab w:val="right" w:pos="8647"/>
        </w:tabs>
        <w:spacing w:line="480" w:lineRule="auto"/>
        <w:jc w:val="center"/>
        <w:rPr>
          <w:rFonts w:ascii="Arial Unicode MS" w:cs="Arial Unicode MS" w:hAnsi="Arial Unicode MS" w:eastAsia="Arial Unicode MS"/>
          <w:sz w:val="48"/>
          <w:szCs w:val="48"/>
          <w:lang w:val="zh-TW" w:eastAsia="zh-TW"/>
        </w:rPr>
      </w:pPr>
      <w:r>
        <w:rPr>
          <w:rFonts w:eastAsia="Arial Unicode MS" w:hint="eastAsia"/>
          <w:sz w:val="48"/>
          <w:szCs w:val="48"/>
          <w:rtl w:val="0"/>
          <w:lang w:val="zh-TW" w:eastAsia="zh-TW"/>
        </w:rPr>
        <w:t>實習企業簡介</w:t>
      </w:r>
    </w:p>
    <w:p>
      <w:pPr>
        <w:pStyle w:val="Normal.0"/>
        <w:spacing w:line="240" w:lineRule="atLeast"/>
        <w:jc w:val="center"/>
        <w:rPr>
          <w:b w:val="1"/>
          <w:bCs w:val="1"/>
          <w:sz w:val="28"/>
          <w:szCs w:val="28"/>
        </w:rPr>
      </w:pPr>
    </w:p>
    <w:tbl>
      <w:tblPr>
        <w:tblW w:w="910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20"/>
        <w:gridCol w:w="7488"/>
      </w:tblGrid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9108"/>
            <w:gridSpan w:val="2"/>
            <w:tcBorders>
              <w:top w:val="single" w:color="000000" w:sz="12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cc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rtl w:val="0"/>
                <w:lang w:val="zh-TW" w:eastAsia="zh-TW"/>
              </w:rPr>
              <w:t>公司介紹</w:t>
            </w:r>
          </w:p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產業類別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富邦人壽保險有限公司</w:t>
            </w:r>
            <w:r>
              <w:rPr>
                <w:rFonts w:ascii="標楷體" w:cs="標楷體" w:hAnsi="標楷體" w:eastAsia="標楷體"/>
                <w:rtl w:val="0"/>
                <w:lang w:val="en-US"/>
              </w:rPr>
              <w:t xml:space="preserve"> /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金融保險顧問類</w:t>
            </w:r>
          </w:p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產業描述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保險金融相關</w:t>
            </w:r>
          </w:p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員　　工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兩萬兩千人</w:t>
            </w:r>
          </w:p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聯</w:t>
            </w:r>
            <w:r>
              <w:rPr>
                <w:rtl w:val="0"/>
                <w:lang w:val="en-US"/>
              </w:rPr>
              <w:t> 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絡</w:t>
            </w:r>
            <w:r>
              <w:rPr>
                <w:rtl w:val="0"/>
                <w:lang w:val="en-US"/>
              </w:rPr>
              <w:t> 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人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富兆通訊處</w:t>
            </w:r>
            <w:r>
              <w:rPr>
                <w:rFonts w:ascii="標楷體" w:cs="標楷體" w:hAnsi="標楷體" w:eastAsia="標楷體"/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 xml:space="preserve">新店分處 業務主任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陳家祥</w:t>
            </w:r>
          </w:p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公司地址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富兆通訊處</w:t>
            </w:r>
            <w:r>
              <w:rPr>
                <w:rFonts w:ascii="標楷體" w:cs="標楷體" w:hAnsi="標楷體" w:eastAsia="標楷體"/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新店分處</w:t>
            </w:r>
            <w:r>
              <w:rPr>
                <w:rFonts w:ascii="標楷體" w:cs="標楷體" w:hAnsi="標楷體" w:eastAsia="標楷體"/>
                <w:rtl w:val="0"/>
                <w:lang w:val="en-US"/>
              </w:rPr>
              <w:t xml:space="preserve"> 新北市新店區中興路三段</w:t>
            </w:r>
            <w:r>
              <w:rPr>
                <w:rFonts w:ascii="標楷體" w:cs="標楷體" w:hAnsi="標楷體" w:eastAsia="標楷體"/>
                <w:rtl w:val="0"/>
                <w:lang w:val="en-US"/>
              </w:rPr>
              <w:t>258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號</w:t>
            </w:r>
          </w:p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電　　話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 xml:space="preserve">聯絡人手機 </w:t>
            </w:r>
            <w:r>
              <w:rPr>
                <w:rFonts w:ascii="標楷體" w:cs="標楷體" w:hAnsi="標楷體" w:eastAsia="標楷體"/>
                <w:rtl w:val="0"/>
                <w:lang w:val="en-US"/>
              </w:rPr>
              <w:t>0910-575207</w:t>
            </w:r>
          </w:p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傳　　真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公司網址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en-US"/>
              </w:rPr>
              <w:t>https://www.fubon.com/life/home/index.htm</w:t>
            </w:r>
          </w:p>
        </w:tc>
      </w:tr>
      <w:tr>
        <w:tblPrEx>
          <w:shd w:val="clear" w:color="auto" w:fill="ced7e7"/>
        </w:tblPrEx>
        <w:trPr>
          <w:trHeight w:val="407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相關連結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9108"/>
            <w:gridSpan w:val="2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cc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rtl w:val="0"/>
                <w:lang w:val="zh-TW" w:eastAsia="zh-TW"/>
              </w:rPr>
              <w:t>公司簡介</w:t>
            </w:r>
          </w:p>
        </w:tc>
      </w:tr>
      <w:tr>
        <w:tblPrEx>
          <w:shd w:val="clear" w:color="auto" w:fill="ced7e7"/>
        </w:tblPrEx>
        <w:trPr>
          <w:trHeight w:val="2730" w:hRule="atLeast"/>
        </w:trPr>
        <w:tc>
          <w:tcPr>
            <w:tcW w:type="dxa" w:w="9108"/>
            <w:gridSpan w:val="2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after="240"/>
            </w:pPr>
            <w:r>
              <w:rPr>
                <w:kern w:val="0"/>
                <w:rtl w:val="0"/>
                <w:lang w:val="zh-TW" w:eastAsia="zh-TW"/>
              </w:rPr>
              <w:t>富邦金控為國內第一大金控</w:t>
            </w:r>
            <w:r>
              <w:rPr>
                <w:kern w:val="0"/>
                <w:rtl w:val="0"/>
                <w:lang w:val="en-US"/>
              </w:rPr>
              <w:t>,</w:t>
            </w:r>
            <w:r>
              <w:rPr>
                <w:kern w:val="0"/>
                <w:rtl w:val="0"/>
                <w:lang w:val="zh-TW" w:eastAsia="zh-TW"/>
              </w:rPr>
              <w:t>其中富邦人壽為員工人數最多的子公司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包括超過數千名內勤同仁、一萬四千名以上外勤同仁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每年招聘新進員工也佔國內應屆畢業生就職比例一定比例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其中我們富兆通訊處為富邦人壽在大台北之營業單位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組成結構平均年資</w:t>
            </w:r>
            <w:r>
              <w:rPr>
                <w:kern w:val="0"/>
                <w:rtl w:val="0"/>
                <w:lang w:val="en-US"/>
              </w:rPr>
              <w:t>33</w:t>
            </w:r>
            <w:r>
              <w:rPr>
                <w:kern w:val="0"/>
                <w:rtl w:val="0"/>
                <w:lang w:val="zh-TW" w:eastAsia="zh-TW"/>
              </w:rPr>
              <w:t>個月、年齡</w:t>
            </w:r>
            <w:r>
              <w:rPr>
                <w:kern w:val="0"/>
                <w:rtl w:val="0"/>
                <w:lang w:val="en-US"/>
              </w:rPr>
              <w:t>27</w:t>
            </w:r>
            <w:r>
              <w:rPr>
                <w:kern w:val="0"/>
                <w:rtl w:val="0"/>
                <w:lang w:val="zh-TW" w:eastAsia="zh-TW"/>
              </w:rPr>
              <w:t>歲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同仁之中應屆畢業生人數佔</w:t>
            </w:r>
            <w:r>
              <w:rPr>
                <w:kern w:val="0"/>
                <w:rtl w:val="0"/>
                <w:lang w:val="en-US"/>
              </w:rPr>
              <w:t>20%</w:t>
            </w:r>
            <w:r>
              <w:rPr>
                <w:kern w:val="0"/>
                <w:rtl w:val="0"/>
                <w:lang w:val="zh-TW" w:eastAsia="zh-TW"/>
              </w:rPr>
              <w:t>以上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因此我們與學校之師生互動良好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近二年得到許多教授、老師們的寶貴指導經驗及讚許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我們已發展出一個相當具有系統及規模的企業實習計劃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可以協助在校同學在畢業前</w:t>
            </w:r>
            <w:r>
              <w:rPr>
                <w:kern w:val="0"/>
                <w:rtl w:val="0"/>
                <w:lang w:val="en-US"/>
              </w:rPr>
              <w:t>後</w:t>
            </w:r>
            <w:r>
              <w:rPr>
                <w:kern w:val="0"/>
                <w:rtl w:val="0"/>
                <w:lang w:val="zh-TW" w:eastAsia="zh-TW"/>
              </w:rPr>
              <w:t>取得金融相關証照及大型商業活動企劃舉辦的相關工作歷練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成效良好有助畢業生於後求職時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厚植個人履歷競爭力</w:t>
            </w:r>
            <w:r>
              <w:rPr>
                <w:kern w:val="0"/>
                <w:rtl w:val="0"/>
                <w:lang w:val="zh-TW" w:eastAsia="zh-TW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比起其他同學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更可以贏在工作的起跑點上</w:t>
            </w:r>
            <w:r>
              <w:rPr>
                <w:kern w:val="0"/>
                <w:rtl w:val="0"/>
                <w:lang w:val="en-US"/>
              </w:rPr>
              <w:t xml:space="preserve">, </w:t>
            </w:r>
            <w:r>
              <w:rPr>
                <w:kern w:val="0"/>
                <w:rtl w:val="0"/>
                <w:lang w:val="zh-TW" w:eastAsia="zh-TW"/>
              </w:rPr>
              <w:t>完成人生夢想</w:t>
            </w:r>
            <w:r>
              <w:rPr>
                <w:kern w:val="0"/>
                <w:rtl w:val="0"/>
                <w:lang w:val="zh-TW" w:eastAsia="zh-TW"/>
              </w:rPr>
              <w:t xml:space="preserve">。 </w:t>
            </w:r>
          </w:p>
        </w:tc>
      </w:tr>
      <w:tr>
        <w:tblPrEx>
          <w:shd w:val="clear" w:color="auto" w:fill="ced7e7"/>
        </w:tblPrEx>
        <w:trPr>
          <w:trHeight w:val="1954" w:hRule="atLeast"/>
        </w:trPr>
        <w:tc>
          <w:tcPr>
            <w:tcW w:type="dxa" w:w="1620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1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主要商品／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服務項目</w:t>
            </w:r>
          </w:p>
        </w:tc>
        <w:tc>
          <w:tcPr>
            <w:tcW w:type="dxa" w:w="74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2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金融相關</w:t>
            </w:r>
          </w:p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保險相關</w:t>
            </w:r>
          </w:p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理財相關</w:t>
            </w:r>
            <w:r/>
          </w:p>
        </w:tc>
      </w:tr>
    </w:tbl>
    <w:p>
      <w:pPr>
        <w:pStyle w:val="Normal.0"/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566"/>
        <w:gridCol w:w="1624"/>
        <w:gridCol w:w="1299"/>
        <w:gridCol w:w="2454"/>
        <w:gridCol w:w="2689"/>
      </w:tblGrid>
      <w:tr>
        <w:tblPrEx>
          <w:shd w:val="clear" w:color="auto" w:fill="ced7e7"/>
        </w:tblPrEx>
        <w:trPr>
          <w:trHeight w:val="700" w:hRule="atLeast"/>
        </w:trPr>
        <w:tc>
          <w:tcPr>
            <w:tcW w:type="dxa" w:w="9632"/>
            <w:gridSpan w:val="5"/>
            <w:tcBorders>
              <w:top w:val="single" w:color="000000" w:sz="12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b w:val="1"/>
                <w:bCs w:val="1"/>
                <w:rtl w:val="0"/>
                <w:lang w:val="zh-TW" w:eastAsia="zh-TW"/>
              </w:rPr>
              <w:t>工作機會列表（</w:t>
            </w:r>
            <w:r>
              <w:rPr>
                <w:rFonts w:ascii="標楷體" w:cs="標楷體" w:hAnsi="標楷體" w:eastAsia="標楷體"/>
                <w:b w:val="1"/>
                <w:bCs w:val="1"/>
                <w:color w:val="800000"/>
                <w:u w:color="800000"/>
                <w:rtl w:val="0"/>
                <w:lang w:val="zh-TW" w:eastAsia="zh-TW"/>
              </w:rPr>
              <w:t>如暫無企業媒合需求，此部份請勾選「其他」</w:t>
            </w:r>
            <w:r>
              <w:rPr>
                <w:b w:val="1"/>
                <w:bCs w:val="1"/>
                <w:color w:val="800000"/>
                <w:u w:color="800000"/>
                <w:rtl w:val="0"/>
                <w:lang w:val="en-US"/>
              </w:rPr>
              <w:t>;</w:t>
            </w:r>
            <w:r>
              <w:rPr>
                <w:rFonts w:ascii="標楷體" w:cs="標楷體" w:hAnsi="標楷體" w:eastAsia="標楷體"/>
                <w:b w:val="1"/>
                <w:bCs w:val="1"/>
                <w:color w:val="800000"/>
                <w:u w:color="800000"/>
                <w:rtl w:val="0"/>
                <w:lang w:val="zh-TW" w:eastAsia="zh-TW"/>
              </w:rPr>
              <w:t>另，欄位不足者可自行增加。</w:t>
            </w:r>
            <w:r>
              <w:rPr>
                <w:rFonts w:ascii="標楷體" w:cs="標楷體" w:hAnsi="標楷體" w:eastAsia="標楷體"/>
                <w:b w:val="1"/>
                <w:bCs w:val="1"/>
                <w:rtl w:val="0"/>
                <w:lang w:val="zh-TW" w:eastAsia="zh-TW"/>
              </w:rPr>
              <w:t>）</w:t>
            </w:r>
          </w:p>
        </w:tc>
      </w:tr>
      <w:tr>
        <w:tblPrEx>
          <w:shd w:val="clear" w:color="auto" w:fill="ced7e7"/>
        </w:tblPrEx>
        <w:trPr>
          <w:trHeight w:val="74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工作類型</w:t>
            </w:r>
          </w:p>
        </w:tc>
        <w:tc>
          <w:tcPr>
            <w:tcW w:type="dxa" w:w="292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rtl w:val="0"/>
                <w:lang w:val="en-US"/>
              </w:rPr>
              <w:t>■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實習生</w:t>
            </w:r>
          </w:p>
        </w:tc>
        <w:tc>
          <w:tcPr>
            <w:tcW w:type="dxa" w:w="24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tl w:val="0"/>
                <w:lang w:val="en-US"/>
              </w:rPr>
              <w:t xml:space="preserve">□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工讀生</w:t>
            </w:r>
          </w:p>
        </w:tc>
        <w:tc>
          <w:tcPr>
            <w:tcW w:type="dxa" w:w="26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tl w:val="0"/>
                <w:lang w:val="en-US"/>
              </w:rPr>
              <w:t xml:space="preserve">□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其他</w:t>
            </w:r>
          </w:p>
        </w:tc>
      </w:tr>
      <w:tr>
        <w:tblPrEx>
          <w:shd w:val="clear" w:color="auto" w:fill="ced7e7"/>
        </w:tblPrEx>
        <w:trPr>
          <w:trHeight w:val="87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工作職稱</w:t>
            </w:r>
          </w:p>
        </w:tc>
        <w:tc>
          <w:tcPr>
            <w:tcW w:type="dxa" w:w="292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業務專員</w:t>
            </w:r>
            <w:r>
              <w:rPr>
                <w:rtl w:val="0"/>
                <w:lang w:val="en-US"/>
              </w:rPr>
              <w:t>/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行銷專員</w:t>
            </w:r>
          </w:p>
        </w:tc>
        <w:tc>
          <w:tcPr>
            <w:tcW w:type="dxa" w:w="24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工作地點</w:t>
            </w:r>
          </w:p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tl w:val="0"/>
                <w:lang w:val="en-US"/>
              </w:rPr>
              <w:t>(EX: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新北市</w:t>
            </w:r>
            <w:r>
              <w:rPr>
                <w:rtl w:val="0"/>
                <w:lang w:val="en-US"/>
              </w:rPr>
              <w:t>,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板橋區</w:t>
            </w:r>
            <w:r>
              <w:rPr>
                <w:rtl w:val="0"/>
                <w:lang w:val="en-US"/>
              </w:rPr>
              <w:t>)</w:t>
            </w:r>
          </w:p>
        </w:tc>
        <w:tc>
          <w:tcPr>
            <w:tcW w:type="dxa" w:w="26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新北市</w:t>
            </w:r>
            <w:r>
              <w:rPr>
                <w:rtl w:val="0"/>
                <w:lang w:val="en-US"/>
              </w:rPr>
              <w:t xml:space="preserve">,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新店區</w:t>
            </w:r>
          </w:p>
        </w:tc>
      </w:tr>
      <w:tr>
        <w:tblPrEx>
          <w:shd w:val="clear" w:color="auto" w:fill="ced7e7"/>
        </w:tblPrEx>
        <w:trPr>
          <w:trHeight w:val="74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所需人數</w:t>
            </w:r>
          </w:p>
        </w:tc>
        <w:tc>
          <w:tcPr>
            <w:tcW w:type="dxa" w:w="16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tl w:val="0"/>
                <w:lang w:val="en-US"/>
              </w:rPr>
              <w:t>5-10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人</w:t>
            </w:r>
          </w:p>
        </w:tc>
        <w:tc>
          <w:tcPr>
            <w:tcW w:type="dxa" w:w="12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工作期間</w:t>
            </w:r>
          </w:p>
        </w:tc>
        <w:tc>
          <w:tcPr>
            <w:tcW w:type="dxa" w:w="514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民國</w:t>
            </w:r>
            <w:r>
              <w:rPr>
                <w:rtl w:val="0"/>
                <w:lang w:val="en-US"/>
              </w:rPr>
              <w:t xml:space="preserve">105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年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tl w:val="0"/>
                <w:lang w:val="en-US"/>
              </w:rPr>
              <w:t>6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月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日</w:t>
            </w:r>
            <w:r>
              <w:rPr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至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民國</w:t>
            </w:r>
            <w:r>
              <w:rPr>
                <w:rtl w:val="0"/>
                <w:lang w:val="en-US"/>
              </w:rPr>
              <w:t xml:space="preserve">  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年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月</w:t>
            </w:r>
            <w:r>
              <w:rPr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ced7e7"/>
        </w:tblPrEx>
        <w:trPr>
          <w:trHeight w:val="191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工作內容</w:t>
            </w:r>
          </w:p>
        </w:tc>
        <w:tc>
          <w:tcPr>
            <w:tcW w:type="dxa" w:w="8065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  <w:rPr>
                <w:rFonts w:ascii="標楷體" w:cs="標楷體" w:hAnsi="標楷體" w:eastAsia="標楷體"/>
              </w:rPr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金融保險證照考取</w:t>
            </w:r>
          </w:p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金融保險業務行銷</w:t>
            </w:r>
          </w:p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完成進階能力提升課程</w:t>
            </w:r>
            <w:r>
              <w:rPr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銷售</w:t>
            </w:r>
            <w:r>
              <w:rPr>
                <w:rtl w:val="0"/>
                <w:lang w:val="en-US"/>
              </w:rPr>
              <w:t xml:space="preserve">,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規劃</w:t>
            </w:r>
            <w:r>
              <w:rPr>
                <w:rtl w:val="0"/>
                <w:lang w:val="en-US"/>
              </w:rPr>
              <w:t xml:space="preserve">,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分析</w:t>
            </w:r>
            <w:r>
              <w:rPr>
                <w:rtl w:val="0"/>
                <w:lang w:val="en-US"/>
              </w:rPr>
              <w:t xml:space="preserve">,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話術經驗</w:t>
            </w:r>
            <w:r>
              <w:rPr>
                <w:rtl w:val="0"/>
                <w:lang w:val="en-US"/>
              </w:rPr>
              <w:t>)</w:t>
            </w:r>
          </w:p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大型活動企劃</w:t>
            </w:r>
            <w:r>
              <w:rPr>
                <w:rtl w:val="0"/>
                <w:lang w:val="en-US"/>
              </w:rPr>
              <w:t xml:space="preserve">,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執行的經驗</w:t>
            </w:r>
          </w:p>
        </w:tc>
      </w:tr>
      <w:tr>
        <w:tblPrEx>
          <w:shd w:val="clear" w:color="auto" w:fill="ced7e7"/>
        </w:tblPrEx>
        <w:trPr>
          <w:trHeight w:val="461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福利津貼</w:t>
            </w:r>
          </w:p>
        </w:tc>
        <w:tc>
          <w:tcPr>
            <w:tcW w:type="dxa" w:w="8065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享有基本勞健保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 xml:space="preserve">, 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比照富邦人壽業務制度及獎金制度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1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其他注意事項</w:t>
            </w:r>
          </w:p>
        </w:tc>
        <w:tc>
          <w:tcPr>
            <w:tcW w:type="dxa" w:w="8065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2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566"/>
        <w:gridCol w:w="1624"/>
        <w:gridCol w:w="1299"/>
        <w:gridCol w:w="2454"/>
        <w:gridCol w:w="2689"/>
      </w:tblGrid>
      <w:tr>
        <w:tblPrEx>
          <w:shd w:val="clear" w:color="auto" w:fill="ced7e7"/>
        </w:tblPrEx>
        <w:trPr>
          <w:trHeight w:val="700" w:hRule="atLeast"/>
        </w:trPr>
        <w:tc>
          <w:tcPr>
            <w:tcW w:type="dxa" w:w="9632"/>
            <w:gridSpan w:val="5"/>
            <w:tcBorders>
              <w:top w:val="single" w:color="000000" w:sz="12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b w:val="1"/>
                <w:bCs w:val="1"/>
                <w:rtl w:val="0"/>
                <w:lang w:val="zh-TW" w:eastAsia="zh-TW"/>
              </w:rPr>
              <w:t>工作機會列表（</w:t>
            </w:r>
            <w:r>
              <w:rPr>
                <w:rFonts w:ascii="標楷體" w:cs="標楷體" w:hAnsi="標楷體" w:eastAsia="標楷體"/>
                <w:b w:val="1"/>
                <w:bCs w:val="1"/>
                <w:color w:val="800000"/>
                <w:u w:color="800000"/>
                <w:rtl w:val="0"/>
                <w:lang w:val="zh-TW" w:eastAsia="zh-TW"/>
              </w:rPr>
              <w:t>如暫無企業媒合需求，此部份請勾選「其他」</w:t>
            </w:r>
            <w:r>
              <w:rPr>
                <w:b w:val="1"/>
                <w:bCs w:val="1"/>
                <w:color w:val="800000"/>
                <w:u w:color="800000"/>
                <w:rtl w:val="0"/>
                <w:lang w:val="en-US"/>
              </w:rPr>
              <w:t>;</w:t>
            </w:r>
            <w:r>
              <w:rPr>
                <w:rFonts w:ascii="標楷體" w:cs="標楷體" w:hAnsi="標楷體" w:eastAsia="標楷體"/>
                <w:b w:val="1"/>
                <w:bCs w:val="1"/>
                <w:color w:val="800000"/>
                <w:u w:color="800000"/>
                <w:rtl w:val="0"/>
                <w:lang w:val="zh-TW" w:eastAsia="zh-TW"/>
              </w:rPr>
              <w:t>另，欄位不足者可自行增加。</w:t>
            </w:r>
            <w:r>
              <w:rPr>
                <w:rFonts w:ascii="標楷體" w:cs="標楷體" w:hAnsi="標楷體" w:eastAsia="標楷體"/>
                <w:b w:val="1"/>
                <w:bCs w:val="1"/>
                <w:rtl w:val="0"/>
                <w:lang w:val="zh-TW" w:eastAsia="zh-TW"/>
              </w:rPr>
              <w:t>）</w:t>
            </w:r>
          </w:p>
        </w:tc>
      </w:tr>
      <w:tr>
        <w:tblPrEx>
          <w:shd w:val="clear" w:color="auto" w:fill="ced7e7"/>
        </w:tblPrEx>
        <w:trPr>
          <w:trHeight w:val="74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工作類型</w:t>
            </w:r>
          </w:p>
        </w:tc>
        <w:tc>
          <w:tcPr>
            <w:tcW w:type="dxa" w:w="292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tl w:val="0"/>
                <w:lang w:val="en-US"/>
              </w:rPr>
              <w:t xml:space="preserve">□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實習生</w:t>
            </w:r>
          </w:p>
        </w:tc>
        <w:tc>
          <w:tcPr>
            <w:tcW w:type="dxa" w:w="24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tl w:val="0"/>
                <w:lang w:val="en-US"/>
              </w:rPr>
              <w:t xml:space="preserve">□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工讀生</w:t>
            </w:r>
          </w:p>
        </w:tc>
        <w:tc>
          <w:tcPr>
            <w:tcW w:type="dxa" w:w="26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center"/>
            </w:pPr>
            <w:r>
              <w:rPr>
                <w:rtl w:val="0"/>
                <w:lang w:val="en-US"/>
              </w:rPr>
              <w:t xml:space="preserve">□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其他</w:t>
            </w:r>
          </w:p>
        </w:tc>
      </w:tr>
      <w:tr>
        <w:tblPrEx>
          <w:shd w:val="clear" w:color="auto" w:fill="ced7e7"/>
        </w:tblPrEx>
        <w:trPr>
          <w:trHeight w:val="87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工作職稱</w:t>
            </w:r>
          </w:p>
        </w:tc>
        <w:tc>
          <w:tcPr>
            <w:tcW w:type="dxa" w:w="292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工作地點</w:t>
            </w:r>
          </w:p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tl w:val="0"/>
                <w:lang w:val="en-US"/>
              </w:rPr>
              <w:t>(EX: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新北市</w:t>
            </w:r>
            <w:r>
              <w:rPr>
                <w:rtl w:val="0"/>
                <w:lang w:val="en-US"/>
              </w:rPr>
              <w:t>,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板橋區</w:t>
            </w:r>
            <w:r>
              <w:rPr>
                <w:rtl w:val="0"/>
                <w:lang w:val="en-US"/>
              </w:rPr>
              <w:t>)</w:t>
            </w:r>
          </w:p>
        </w:tc>
        <w:tc>
          <w:tcPr>
            <w:tcW w:type="dxa" w:w="26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74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所需人數</w:t>
            </w:r>
          </w:p>
        </w:tc>
        <w:tc>
          <w:tcPr>
            <w:tcW w:type="dxa" w:w="16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tl w:val="0"/>
                <w:lang w:val="en-US"/>
              </w:rPr>
              <w:t xml:space="preserve">    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人</w:t>
            </w:r>
          </w:p>
        </w:tc>
        <w:tc>
          <w:tcPr>
            <w:tcW w:type="dxa" w:w="12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工作期間</w:t>
            </w:r>
          </w:p>
        </w:tc>
        <w:tc>
          <w:tcPr>
            <w:tcW w:type="dxa" w:w="514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民國</w:t>
            </w:r>
            <w:r>
              <w:rPr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年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月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日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至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民國</w:t>
            </w:r>
            <w:r>
              <w:rPr>
                <w:rtl w:val="0"/>
                <w:lang w:val="en-US"/>
              </w:rPr>
              <w:t xml:space="preserve">  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年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月</w:t>
            </w:r>
            <w:r>
              <w:rPr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ced7e7"/>
        </w:tblPrEx>
        <w:trPr>
          <w:trHeight w:val="75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工作內容</w:t>
            </w:r>
          </w:p>
        </w:tc>
        <w:tc>
          <w:tcPr>
            <w:tcW w:type="dxa" w:w="8065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標楷體" w:cs="標楷體" w:hAnsi="標楷體" w:eastAsia="標楷體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461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rtl w:val="0"/>
                <w:lang w:val="zh-TW" w:eastAsia="zh-TW"/>
              </w:rPr>
              <w:t>福利津貼</w:t>
            </w:r>
          </w:p>
        </w:tc>
        <w:tc>
          <w:tcPr>
            <w:tcW w:type="dxa" w:w="8065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1566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12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180" w:after="180" w:line="24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其他注意事項</w:t>
            </w:r>
          </w:p>
        </w:tc>
        <w:tc>
          <w:tcPr>
            <w:tcW w:type="dxa" w:w="8065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2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</w:pP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  <w:font w:name="標楷體">
    <w:charset w:val="00"/>
    <w:family w:val="roman"/>
    <w:pitch w:val="default"/>
  </w:font>
  <w:font w:name="Wingding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頁首與頁尾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頁首與頁尾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8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佈景主題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